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DA03" w14:textId="77777777" w:rsidR="0088459E" w:rsidRDefault="00BF1DCD">
      <w:pPr>
        <w:pStyle w:val="Nagwek2"/>
        <w:jc w:val="both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Wstęp</w:t>
      </w:r>
    </w:p>
    <w:p w14:paraId="59189329" w14:textId="77777777" w:rsidR="0088459E" w:rsidRDefault="00BF1DCD">
      <w:pPr>
        <w:jc w:val="both"/>
      </w:pPr>
      <w:r>
        <w:t xml:space="preserve">W niniejszym dokumencie przedstawiono wnioski i zalecenia dla decydentów (edukacyjnych), które wynikają z trzyletniego doświadczenia we wdrażaniu konkretnego modelu otwartego kształcenia, który nazwaliśmy uczeniem się opartym na misji. Dokument ten został </w:t>
      </w:r>
      <w:r>
        <w:t xml:space="preserve">opracowany </w:t>
      </w:r>
      <w:r>
        <w:rPr>
          <w:color w:val="000000"/>
        </w:rPr>
        <w:t>w celu</w:t>
      </w:r>
      <w:r>
        <w:t xml:space="preserve"> poinformowania odpowiednich decydentów na poziomie władz lokalnych i oświatowych o korzyściach płynących </w:t>
      </w:r>
      <w:r>
        <w:rPr>
          <w:color w:val="000000"/>
        </w:rPr>
        <w:t>z</w:t>
      </w:r>
      <w:r>
        <w:t xml:space="preserve"> tych praktyk edukacyjnych i wyzwaniach związanych </w:t>
      </w:r>
      <w:r>
        <w:rPr>
          <w:color w:val="000000"/>
        </w:rPr>
        <w:t>z</w:t>
      </w:r>
      <w:r>
        <w:t xml:space="preserve"> wprowadzeniem ich </w:t>
      </w:r>
      <w:r>
        <w:rPr>
          <w:color w:val="000000"/>
        </w:rPr>
        <w:t>do</w:t>
      </w:r>
      <w:r>
        <w:t xml:space="preserve"> praktyki szkolnej.</w:t>
      </w:r>
    </w:p>
    <w:p w14:paraId="1ED25F4B" w14:textId="77777777" w:rsidR="0088459E" w:rsidRDefault="00BF1DCD">
      <w:pPr>
        <w:jc w:val="both"/>
      </w:pPr>
      <w:r>
        <w:t>Nauczanie oparte na misjach to model ed</w:t>
      </w:r>
      <w:r>
        <w:t xml:space="preserve">ukacji szkolnej, który polega na </w:t>
      </w:r>
      <w:r>
        <w:rPr>
          <w:b/>
        </w:rPr>
        <w:t xml:space="preserve">delegowaniu odpowiedzialności za decyzje </w:t>
      </w:r>
      <w:proofErr w:type="gramStart"/>
      <w:r>
        <w:rPr>
          <w:b/>
        </w:rPr>
        <w:t>odnośnie</w:t>
      </w:r>
      <w:proofErr w:type="gramEnd"/>
      <w:r>
        <w:rPr>
          <w:b/>
        </w:rPr>
        <w:t xml:space="preserve"> kształcenia do nastolatków</w:t>
      </w:r>
      <w:r>
        <w:t xml:space="preserve">, którym, w ten sposób, umożliwia się kształtowanie, projektowanie i wdrażanie własnych projektów edukacyjnych. Nazwa </w:t>
      </w:r>
      <w:r>
        <w:rPr>
          <w:i/>
        </w:rPr>
        <w:t>misja</w:t>
      </w:r>
      <w:r>
        <w:t xml:space="preserve">, </w:t>
      </w:r>
      <w:r>
        <w:rPr>
          <w:color w:val="000000"/>
        </w:rPr>
        <w:t>nawiązująca</w:t>
      </w:r>
      <w:r>
        <w:t xml:space="preserve"> do projekt</w:t>
      </w:r>
      <w:r>
        <w:t>ów prowadzonych przez studentów, została zapożyczona z dziedziny gier komputerowych, w których drużyny graczy biorą udział w rozgrywkach prowadzących do ukończenia misji. Ponieważ istnieje wiele dowodów na to, że dzisiejsza młodzież czerpie korzyści z gran</w:t>
      </w:r>
      <w:r>
        <w:t>ia w gry cyfrowe w zakresie rozwijania takich umiejętności, jak komunikacja, podejmowanie decyzji, alfabetyzacja cyfrowa czy umiejętności językowe, opracowując metodologię edukacyjną, która czerpie z zasad pewnego rodzaju autonomicznego uczenia się w konte</w:t>
      </w:r>
      <w:r>
        <w:t>kście cyfrowym wydaje się właściwym rozwiązaniem edukacyjnym.</w:t>
      </w:r>
    </w:p>
    <w:p w14:paraId="079E7A18" w14:textId="22DBEBE3" w:rsidR="0088459E" w:rsidRDefault="00BF1DCD">
      <w:pPr>
        <w:jc w:val="both"/>
      </w:pPr>
      <w:r>
        <w:rPr>
          <w:b/>
        </w:rPr>
        <w:t>Uczenie się oparte na misji</w:t>
      </w:r>
      <w:r>
        <w:rPr>
          <w:b/>
        </w:rPr>
        <w:t xml:space="preserve"> jako model otwartego nauczania, w dużej mierze opiera się na współpracy z lokalnymi partnerami, organizacjami i instytucjami</w:t>
      </w:r>
      <w:r>
        <w:t xml:space="preserve">, tymi dostępnymi bezpośrednio lokalnie, </w:t>
      </w:r>
      <w:r>
        <w:t>jak i tymi dostępnymi online. Taka współpraca z partnerami ze społeczności lokalnej przynosi korzyści wszystkim zaangażowanym. Oznacza to, że wsparcie, jakie może pochodzić od władz lokalnych (także tych oświatowych) jest korzystne nie tylko dla szkół wdra</w:t>
      </w:r>
      <w:r>
        <w:t xml:space="preserve">żających </w:t>
      </w:r>
      <w:r>
        <w:rPr>
          <w:color w:val="000000"/>
        </w:rPr>
        <w:t>metodykę otwartego nauczania,</w:t>
      </w:r>
      <w:r>
        <w:t xml:space="preserve"> ale także dla całego społeczeństwa. </w:t>
      </w:r>
    </w:p>
    <w:p w14:paraId="65BEA6E2" w14:textId="77777777" w:rsidR="0088459E" w:rsidRDefault="00BF1DCD">
      <w:pPr>
        <w:jc w:val="both"/>
      </w:pPr>
      <w:r>
        <w:t>Korzyści te obejmują ulepszony i wydajny tryb uczenia się, zwiększoną motywację uczniów i nauczycieli, umiędzynarodowienie uczenia się, lepsze umiejętności komunikacyjne, rozwijani</w:t>
      </w:r>
      <w:r>
        <w:t xml:space="preserve">e umiejętności podejmowania decyzji oraz ocenę i umiejętności korzystania z technologii cyfrowych. Otwarte kształcenie przygotowuje uczniów do bycia odpowiedzialnymi obywatelami, </w:t>
      </w:r>
      <w:r>
        <w:rPr>
          <w:color w:val="000000"/>
        </w:rPr>
        <w:t>świadomymi potrzeb</w:t>
      </w:r>
      <w:r>
        <w:t xml:space="preserve"> lokalnej </w:t>
      </w:r>
      <w:r>
        <w:rPr>
          <w:color w:val="000000"/>
        </w:rPr>
        <w:t>społeczności,</w:t>
      </w:r>
      <w:r>
        <w:t xml:space="preserve"> opiekuńczymi </w:t>
      </w:r>
      <w:r>
        <w:rPr>
          <w:color w:val="000000"/>
        </w:rPr>
        <w:t>wobec</w:t>
      </w:r>
      <w:r>
        <w:t xml:space="preserve"> ludzi i </w:t>
      </w:r>
      <w:r>
        <w:rPr>
          <w:color w:val="000000"/>
        </w:rPr>
        <w:t xml:space="preserve">miejsc, </w:t>
      </w:r>
      <w:r>
        <w:rPr>
          <w:color w:val="000000"/>
        </w:rPr>
        <w:t>w których</w:t>
      </w:r>
      <w:r>
        <w:t xml:space="preserve"> żyją</w:t>
      </w:r>
      <w:r>
        <w:rPr>
          <w:color w:val="000000"/>
        </w:rPr>
        <w:t>.</w:t>
      </w:r>
      <w:r>
        <w:t xml:space="preserve"> </w:t>
      </w:r>
    </w:p>
    <w:p w14:paraId="5E1526D5" w14:textId="7E07647B" w:rsidR="0088459E" w:rsidRDefault="00BF1DCD">
      <w:pPr>
        <w:jc w:val="both"/>
      </w:pPr>
      <w:r>
        <w:lastRenderedPageBreak/>
        <w:t>Chociaż idea otwartego nauczania została poparta przez Unię Europejską w dokumentach</w:t>
      </w:r>
      <w:r>
        <w:t xml:space="preserve">, </w:t>
      </w:r>
      <w:r>
        <w:rPr>
          <w:color w:val="000000"/>
        </w:rPr>
        <w:t>artykułach</w:t>
      </w:r>
      <w:r>
        <w:t xml:space="preserve"> oraz poprzez projekty finansowane przez UE, </w:t>
      </w:r>
      <w:r>
        <w:rPr>
          <w:b/>
        </w:rPr>
        <w:t>nadal wiele pozostaje do zrobienia w celu promowania otwartych</w:t>
      </w:r>
      <w:r>
        <w:t xml:space="preserve"> modeli nauczania na </w:t>
      </w:r>
      <w:r>
        <w:rPr>
          <w:color w:val="000000"/>
        </w:rPr>
        <w:t>dużą skalę</w:t>
      </w:r>
      <w:r>
        <w:t xml:space="preserve"> w e</w:t>
      </w:r>
      <w:r>
        <w:t xml:space="preserve">uropejskich szkołach. Raport niniejszy wyraźnie wskazuje na liczne korzyści płynące z otwartego nauczania, a jednocześnie na istniejące bariery w jego wdrażaniu. Te ostatnie dotyczą ograniczeń środowiska edukacyjnego, z jakimi borykają się szkoły, </w:t>
      </w:r>
      <w:r>
        <w:rPr>
          <w:color w:val="000000"/>
        </w:rPr>
        <w:t>nauczyci</w:t>
      </w:r>
      <w:r>
        <w:rPr>
          <w:color w:val="000000"/>
        </w:rPr>
        <w:t>ele</w:t>
      </w:r>
      <w:r>
        <w:t xml:space="preserve"> i uczniowie. Dlatego podnoszenie świadomości dotyczącej szans jakie daje otwarte kształcenie, a także świadomości istnienia przeszkód w jego realizacji może okazać się decydującą strategią w popularyzacji tego modelu edukacyjnego. </w:t>
      </w:r>
    </w:p>
    <w:p w14:paraId="6C7FA772" w14:textId="77777777" w:rsidR="0088459E" w:rsidRDefault="0088459E">
      <w:pPr>
        <w:jc w:val="both"/>
        <w:rPr>
          <w:b/>
          <w:color w:val="4472C4"/>
        </w:rPr>
      </w:pPr>
    </w:p>
    <w:p w14:paraId="7847BA18" w14:textId="77777777" w:rsidR="0088459E" w:rsidRDefault="00BF1DCD">
      <w:pPr>
        <w:jc w:val="both"/>
      </w:pPr>
      <w:r>
        <w:t>Aby zrealizować ide</w:t>
      </w:r>
      <w:r>
        <w:t>ę kształcenia otwartego</w:t>
      </w:r>
      <w:r>
        <w:rPr>
          <w:color w:val="000000"/>
        </w:rPr>
        <w:t>,</w:t>
      </w:r>
      <w:r>
        <w:t xml:space="preserve"> ważne jest uzyskanie wsparcia władz lokalnych i krajowych (także oświatowych). Tylko wtedy </w:t>
      </w:r>
      <w:r>
        <w:rPr>
          <w:color w:val="000000"/>
        </w:rPr>
        <w:t>moż</w:t>
      </w:r>
      <w:r>
        <w:t xml:space="preserve">e ono otrzymać niezbędne wsparcie i stać się szeroko stosowaną i zrównoważoną strategią edukacyjną. </w:t>
      </w:r>
    </w:p>
    <w:p w14:paraId="72BB2A52" w14:textId="77777777" w:rsidR="0088459E" w:rsidRDefault="0088459E">
      <w:pPr>
        <w:jc w:val="both"/>
      </w:pPr>
    </w:p>
    <w:p w14:paraId="11537285" w14:textId="7CA6C8A7" w:rsidR="0088459E" w:rsidRDefault="00BF1DCD">
      <w:pPr>
        <w:jc w:val="both"/>
      </w:pPr>
      <w:r>
        <w:t xml:space="preserve">Projekt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Learning był </w:t>
      </w:r>
      <w:r>
        <w:t xml:space="preserve">realizowany od 1 listopada 2019 r. do 31 lipca 2022 r. Mimo trudności spowodowanych wybuchem pandemii Covid-19, projekt z powodzeniem </w:t>
      </w:r>
      <w:r>
        <w:rPr>
          <w:color w:val="000000"/>
        </w:rPr>
        <w:t>zrealizował</w:t>
      </w:r>
      <w:r>
        <w:t xml:space="preserve"> swoje cele. W projekcie wzięło udział pięciu partnerów i dwie szkoły podstawowe i średnie z sześciu </w:t>
      </w:r>
      <w:r>
        <w:rPr>
          <w:color w:val="000000"/>
        </w:rPr>
        <w:t>krajów,</w:t>
      </w:r>
      <w:r>
        <w:t xml:space="preserve"> m.</w:t>
      </w:r>
      <w:r>
        <w:t xml:space="preserve">in.: z Łotwy, Litwy, Polski, Rumunii, Hiszpanii, Turcji, trzech partnerów </w:t>
      </w:r>
      <w:r>
        <w:t xml:space="preserve">merytorycznych: University of </w:t>
      </w:r>
      <w:proofErr w:type="spellStart"/>
      <w:r>
        <w:t>Gloucestershire</w:t>
      </w:r>
      <w:proofErr w:type="spellEnd"/>
      <w:r>
        <w:t xml:space="preserve">, Wielka Brytania (lider projektu), University of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Finland</w:t>
      </w:r>
      <w:proofErr w:type="spellEnd"/>
      <w:r>
        <w:t xml:space="preserve">, Uniwersytet Jagielloński, </w:t>
      </w:r>
      <w:r>
        <w:rPr>
          <w:color w:val="000000"/>
        </w:rPr>
        <w:t>Polska</w:t>
      </w:r>
      <w:r>
        <w:t xml:space="preserve"> oraz organizacja partnerska ds. zapewn</w:t>
      </w:r>
      <w:r>
        <w:t xml:space="preserve">iania jakości </w:t>
      </w:r>
      <w:proofErr w:type="spellStart"/>
      <w:r>
        <w:t>Working</w:t>
      </w:r>
      <w:proofErr w:type="spellEnd"/>
      <w:r>
        <w:t xml:space="preserve"> with Europe, Hiszpania. W ciągu trzech </w:t>
      </w:r>
      <w:r>
        <w:rPr>
          <w:color w:val="000000"/>
        </w:rPr>
        <w:t>lat ponad</w:t>
      </w:r>
      <w:r>
        <w:t xml:space="preserve"> 70 uczniów w wieku 13-17 lat było bezpośrednio zaangażowanych w działania projektowe. Pełna lista instytucji pracujących nad projektem obejmuje:</w:t>
      </w:r>
    </w:p>
    <w:p w14:paraId="495D0CFE" w14:textId="77777777" w:rsidR="0088459E" w:rsidRDefault="00BF1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30j0zll" w:colFirst="0" w:colLast="0"/>
      <w:bookmarkEnd w:id="1"/>
      <w:proofErr w:type="spellStart"/>
      <w:r>
        <w:rPr>
          <w:color w:val="000000"/>
        </w:rPr>
        <w:t>Bauskas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Pilsetas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Pamatskola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Bauska</w:t>
      </w:r>
      <w:proofErr w:type="spellEnd"/>
      <w:r>
        <w:rPr>
          <w:color w:val="000000"/>
        </w:rPr>
        <w:t>, Łot</w:t>
      </w:r>
      <w:r>
        <w:rPr>
          <w:color w:val="000000"/>
        </w:rPr>
        <w:t>wa,</w:t>
      </w:r>
    </w:p>
    <w:p w14:paraId="11C83A5A" w14:textId="77777777" w:rsidR="0088459E" w:rsidRPr="00BF1DCD" w:rsidRDefault="00BF1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BF1DCD">
        <w:rPr>
          <w:color w:val="000000"/>
          <w:lang w:val="en-US"/>
        </w:rPr>
        <w:t>Colegiul</w:t>
      </w:r>
      <w:proofErr w:type="spellEnd"/>
      <w:r w:rsidRPr="00BF1DCD">
        <w:rPr>
          <w:color w:val="000000"/>
          <w:lang w:val="en-US"/>
        </w:rPr>
        <w:t xml:space="preserve"> National </w:t>
      </w:r>
      <w:proofErr w:type="spellStart"/>
      <w:r w:rsidRPr="00BF1DCD">
        <w:rPr>
          <w:color w:val="000000"/>
          <w:lang w:val="en-US"/>
        </w:rPr>
        <w:t>Fratii</w:t>
      </w:r>
      <w:proofErr w:type="spellEnd"/>
      <w:r w:rsidRPr="00BF1DCD">
        <w:rPr>
          <w:color w:val="000000"/>
          <w:lang w:val="en-US"/>
        </w:rPr>
        <w:t xml:space="preserve"> </w:t>
      </w:r>
      <w:proofErr w:type="spellStart"/>
      <w:r w:rsidRPr="00BF1DCD">
        <w:rPr>
          <w:color w:val="000000"/>
          <w:lang w:val="en-US"/>
        </w:rPr>
        <w:t>Buzesti</w:t>
      </w:r>
      <w:proofErr w:type="spellEnd"/>
      <w:r w:rsidRPr="00BF1DCD">
        <w:rPr>
          <w:color w:val="000000"/>
          <w:lang w:val="en-US"/>
        </w:rPr>
        <w:t xml:space="preserve">, Craiova, </w:t>
      </w:r>
      <w:proofErr w:type="spellStart"/>
      <w:r w:rsidRPr="00BF1DCD">
        <w:rPr>
          <w:color w:val="000000"/>
          <w:lang w:val="en-US"/>
        </w:rPr>
        <w:t>Rumunia</w:t>
      </w:r>
      <w:proofErr w:type="spellEnd"/>
      <w:r w:rsidRPr="00BF1DCD">
        <w:rPr>
          <w:color w:val="000000"/>
          <w:lang w:val="en-US"/>
        </w:rPr>
        <w:t>,</w:t>
      </w:r>
    </w:p>
    <w:p w14:paraId="49734C83" w14:textId="77777777" w:rsidR="0088459E" w:rsidRDefault="00BF1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Elazig</w:t>
      </w:r>
      <w:proofErr w:type="spellEnd"/>
      <w:r>
        <w:rPr>
          <w:color w:val="000000"/>
        </w:rPr>
        <w:t xml:space="preserve"> Doga </w:t>
      </w:r>
      <w:proofErr w:type="spellStart"/>
      <w:r>
        <w:rPr>
          <w:color w:val="000000"/>
        </w:rPr>
        <w:t>Anadolu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Lisesi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Elaizig</w:t>
      </w:r>
      <w:proofErr w:type="spellEnd"/>
      <w:r>
        <w:rPr>
          <w:color w:val="000000"/>
        </w:rPr>
        <w:t>, Turcja,</w:t>
      </w:r>
    </w:p>
    <w:p w14:paraId="674B11CF" w14:textId="77777777" w:rsidR="0088459E" w:rsidRPr="00BF1DCD" w:rsidRDefault="00BF1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bookmarkStart w:id="2" w:name="_1fob9te" w:colFirst="0" w:colLast="0"/>
      <w:bookmarkEnd w:id="2"/>
      <w:proofErr w:type="spellStart"/>
      <w:r w:rsidRPr="00BF1DCD">
        <w:rPr>
          <w:color w:val="000000"/>
          <w:lang w:val="en-US"/>
        </w:rPr>
        <w:t>Institut</w:t>
      </w:r>
      <w:proofErr w:type="spellEnd"/>
      <w:r w:rsidRPr="00BF1DCD">
        <w:rPr>
          <w:color w:val="000000"/>
          <w:lang w:val="en-US"/>
        </w:rPr>
        <w:t xml:space="preserve"> de </w:t>
      </w:r>
      <w:proofErr w:type="spellStart"/>
      <w:r w:rsidRPr="00BF1DCD">
        <w:rPr>
          <w:color w:val="000000"/>
          <w:lang w:val="en-US"/>
        </w:rPr>
        <w:t>Vilafant</w:t>
      </w:r>
      <w:proofErr w:type="spellEnd"/>
      <w:r w:rsidRPr="00BF1DCD">
        <w:rPr>
          <w:color w:val="000000"/>
          <w:lang w:val="en-US"/>
        </w:rPr>
        <w:t xml:space="preserve">, </w:t>
      </w:r>
      <w:proofErr w:type="spellStart"/>
      <w:r w:rsidRPr="00BF1DCD">
        <w:rPr>
          <w:color w:val="000000"/>
          <w:lang w:val="en-US"/>
        </w:rPr>
        <w:t>Vilafant</w:t>
      </w:r>
      <w:proofErr w:type="spellEnd"/>
      <w:r w:rsidRPr="00BF1DCD">
        <w:rPr>
          <w:color w:val="000000"/>
          <w:lang w:val="en-US"/>
        </w:rPr>
        <w:t xml:space="preserve">, </w:t>
      </w:r>
      <w:proofErr w:type="spellStart"/>
      <w:r w:rsidRPr="00BF1DCD">
        <w:rPr>
          <w:color w:val="000000"/>
          <w:lang w:val="en-US"/>
        </w:rPr>
        <w:t>Hiszpania</w:t>
      </w:r>
      <w:proofErr w:type="spellEnd"/>
      <w:r w:rsidRPr="00BF1DCD">
        <w:rPr>
          <w:color w:val="000000"/>
          <w:lang w:val="en-US"/>
        </w:rPr>
        <w:t>,</w:t>
      </w:r>
    </w:p>
    <w:p w14:paraId="45F71255" w14:textId="77777777" w:rsidR="0088459E" w:rsidRPr="00BF1DCD" w:rsidRDefault="00BF1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BF1DCD">
        <w:rPr>
          <w:color w:val="000000"/>
          <w:lang w:val="en-US"/>
        </w:rPr>
        <w:t>Pasvalio</w:t>
      </w:r>
      <w:proofErr w:type="spellEnd"/>
      <w:r w:rsidRPr="00BF1DCD">
        <w:rPr>
          <w:color w:val="000000"/>
          <w:lang w:val="en-US"/>
        </w:rPr>
        <w:t xml:space="preserve"> </w:t>
      </w:r>
      <w:proofErr w:type="spellStart"/>
      <w:r w:rsidRPr="00BF1DCD">
        <w:rPr>
          <w:color w:val="000000"/>
          <w:lang w:val="en-US"/>
        </w:rPr>
        <w:t>Levens</w:t>
      </w:r>
      <w:proofErr w:type="spellEnd"/>
      <w:r w:rsidRPr="00BF1DCD">
        <w:rPr>
          <w:color w:val="000000"/>
          <w:lang w:val="en-US"/>
        </w:rPr>
        <w:t xml:space="preserve"> </w:t>
      </w:r>
      <w:proofErr w:type="spellStart"/>
      <w:r w:rsidRPr="00BF1DCD">
        <w:rPr>
          <w:color w:val="000000"/>
          <w:lang w:val="en-US"/>
        </w:rPr>
        <w:t>Pagrindine</w:t>
      </w:r>
      <w:proofErr w:type="spellEnd"/>
      <w:r w:rsidRPr="00BF1DCD">
        <w:rPr>
          <w:color w:val="000000"/>
          <w:lang w:val="en-US"/>
        </w:rPr>
        <w:t xml:space="preserve"> </w:t>
      </w:r>
      <w:proofErr w:type="spellStart"/>
      <w:r w:rsidRPr="00BF1DCD">
        <w:rPr>
          <w:color w:val="000000"/>
          <w:lang w:val="en-US"/>
        </w:rPr>
        <w:t>Mokykla</w:t>
      </w:r>
      <w:proofErr w:type="spellEnd"/>
      <w:r w:rsidRPr="00BF1DCD">
        <w:rPr>
          <w:color w:val="000000"/>
          <w:lang w:val="en-US"/>
        </w:rPr>
        <w:t xml:space="preserve">, </w:t>
      </w:r>
      <w:proofErr w:type="spellStart"/>
      <w:r w:rsidRPr="00BF1DCD">
        <w:rPr>
          <w:color w:val="000000"/>
          <w:lang w:val="en-US"/>
        </w:rPr>
        <w:t>Pasvalys</w:t>
      </w:r>
      <w:proofErr w:type="spellEnd"/>
      <w:r w:rsidRPr="00BF1DCD">
        <w:rPr>
          <w:color w:val="000000"/>
          <w:lang w:val="en-US"/>
        </w:rPr>
        <w:t xml:space="preserve">, </w:t>
      </w:r>
      <w:proofErr w:type="spellStart"/>
      <w:r w:rsidRPr="00BF1DCD">
        <w:rPr>
          <w:color w:val="000000"/>
          <w:lang w:val="en-US"/>
        </w:rPr>
        <w:t>Litwa</w:t>
      </w:r>
      <w:proofErr w:type="spellEnd"/>
      <w:r w:rsidRPr="00BF1DCD">
        <w:rPr>
          <w:color w:val="000000"/>
          <w:lang w:val="en-US"/>
        </w:rPr>
        <w:t>,</w:t>
      </w:r>
    </w:p>
    <w:p w14:paraId="32872271" w14:textId="77777777" w:rsidR="0088459E" w:rsidRDefault="00BF1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Publiczna SP im. Wincentego </w:t>
      </w:r>
      <w:proofErr w:type="spellStart"/>
      <w:r>
        <w:rPr>
          <w:color w:val="000000"/>
        </w:rPr>
        <w:t>Pallottiego</w:t>
      </w:r>
      <w:proofErr w:type="spellEnd"/>
      <w:r>
        <w:rPr>
          <w:color w:val="000000"/>
        </w:rPr>
        <w:t xml:space="preserve"> w Krakowie, Polska,</w:t>
      </w:r>
    </w:p>
    <w:p w14:paraId="0541218C" w14:textId="77777777" w:rsidR="0088459E" w:rsidRDefault="00BF1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Społeczna SP im. Lady Sue </w:t>
      </w:r>
      <w:proofErr w:type="spellStart"/>
      <w:r>
        <w:rPr>
          <w:color w:val="000000"/>
        </w:rPr>
        <w:t>Ryder</w:t>
      </w:r>
      <w:proofErr w:type="spellEnd"/>
      <w:r>
        <w:rPr>
          <w:color w:val="000000"/>
        </w:rPr>
        <w:t>, Niepołomice, Polska,</w:t>
      </w:r>
    </w:p>
    <w:p w14:paraId="2EB098D4" w14:textId="77777777" w:rsidR="0088459E" w:rsidRDefault="00BF1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Uniwersytet Jagielloński, Polska,</w:t>
      </w:r>
    </w:p>
    <w:p w14:paraId="47E3D3DB" w14:textId="77777777" w:rsidR="0088459E" w:rsidRPr="00BF1DCD" w:rsidRDefault="00BF1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BF1DCD">
        <w:rPr>
          <w:color w:val="000000"/>
          <w:lang w:val="en-US"/>
        </w:rPr>
        <w:t xml:space="preserve">University of Gloucestershire, </w:t>
      </w:r>
      <w:proofErr w:type="spellStart"/>
      <w:r w:rsidRPr="00BF1DCD">
        <w:rPr>
          <w:color w:val="000000"/>
          <w:lang w:val="en-US"/>
        </w:rPr>
        <w:t>Wielka</w:t>
      </w:r>
      <w:proofErr w:type="spellEnd"/>
      <w:r w:rsidRPr="00BF1DCD">
        <w:rPr>
          <w:color w:val="000000"/>
          <w:lang w:val="en-US"/>
        </w:rPr>
        <w:t xml:space="preserve"> </w:t>
      </w:r>
      <w:proofErr w:type="spellStart"/>
      <w:r w:rsidRPr="00BF1DCD">
        <w:rPr>
          <w:color w:val="000000"/>
          <w:lang w:val="en-US"/>
        </w:rPr>
        <w:t>Brytania</w:t>
      </w:r>
      <w:proofErr w:type="spellEnd"/>
      <w:r w:rsidRPr="00BF1DCD">
        <w:rPr>
          <w:color w:val="000000"/>
          <w:lang w:val="en-US"/>
        </w:rPr>
        <w:t>,</w:t>
      </w:r>
    </w:p>
    <w:p w14:paraId="0A436668" w14:textId="77777777" w:rsidR="0088459E" w:rsidRDefault="00BF1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Uniwersytet Wschodniej Finlandii, Finlandia,</w:t>
      </w:r>
    </w:p>
    <w:p w14:paraId="56BC6232" w14:textId="77777777" w:rsidR="0088459E" w:rsidRDefault="00BF1D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t>Working</w:t>
      </w:r>
      <w:proofErr w:type="spellEnd"/>
      <w:r>
        <w:t xml:space="preserve"> with Eu</w:t>
      </w:r>
      <w:r>
        <w:t>rope</w:t>
      </w:r>
      <w:r>
        <w:rPr>
          <w:color w:val="000000"/>
        </w:rPr>
        <w:t>, Hiszpania.</w:t>
      </w:r>
    </w:p>
    <w:tbl>
      <w:tblPr>
        <w:tblStyle w:val="a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2989"/>
        <w:gridCol w:w="1738"/>
        <w:gridCol w:w="1541"/>
      </w:tblGrid>
      <w:tr w:rsidR="0088459E" w14:paraId="54FB5D72" w14:textId="77777777">
        <w:tc>
          <w:tcPr>
            <w:tcW w:w="2804" w:type="dxa"/>
          </w:tcPr>
          <w:p w14:paraId="140FFDC5" w14:textId="77777777" w:rsidR="0088459E" w:rsidRDefault="00BF1DC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6029008" wp14:editId="4B5C570D">
                  <wp:extent cx="635676" cy="524588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76" cy="524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14:paraId="44872DBB" w14:textId="77777777" w:rsidR="0088459E" w:rsidRDefault="00BF1DC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08466E3" wp14:editId="626BF226">
                  <wp:extent cx="795554" cy="480894"/>
                  <wp:effectExtent l="0" t="0" r="0" b="0"/>
                  <wp:docPr id="3" name="image6.png" descr="Obraz zawierający tekst, clipar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Obraz zawierający tekst, clipart&#10;&#10;Opis wygenerowany automatyczni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54" cy="4808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14:paraId="10F23D7F" w14:textId="77777777" w:rsidR="0088459E" w:rsidRDefault="00BF1DC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23573EB" wp14:editId="37ACEF97">
                  <wp:extent cx="992240" cy="365704"/>
                  <wp:effectExtent l="0" t="0" r="0" b="0"/>
                  <wp:docPr id="2" name="image8.png" descr="Obraz zawierający tekst, clipar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Obraz zawierający tekst, clipart&#10;&#10;Opis wygenerowany automatyczni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240" cy="365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14:paraId="382DED74" w14:textId="77777777" w:rsidR="0088459E" w:rsidRDefault="00BF1DC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07038F2" wp14:editId="6C453B28">
                  <wp:extent cx="604733" cy="426337"/>
                  <wp:effectExtent l="0" t="0" r="0" b="0"/>
                  <wp:docPr id="5" name="image1.jpg" descr="Obraz zawierający teks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Obraz zawierający tekst&#10;&#10;Opis wygenerowany automatyczni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33" cy="4263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59E" w14:paraId="0F2F7DCF" w14:textId="77777777">
        <w:tc>
          <w:tcPr>
            <w:tcW w:w="2804" w:type="dxa"/>
          </w:tcPr>
          <w:p w14:paraId="4A3CC43E" w14:textId="77777777" w:rsidR="0088459E" w:rsidRDefault="00BF1DC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6FB63EC" wp14:editId="65351373">
                  <wp:extent cx="720731" cy="1019196"/>
                  <wp:effectExtent l="0" t="0" r="0" b="0"/>
                  <wp:docPr id="4" name="image11.jpg" descr="Obraz zawierający tekst, porcela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Obraz zawierający tekst, porcelana&#10;&#10;Opis wygenerowany automatyczni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31" cy="10191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14:paraId="18415299" w14:textId="77777777" w:rsidR="0088459E" w:rsidRDefault="00BF1DC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037FDE4" wp14:editId="3F13E8DF">
                  <wp:extent cx="1891954" cy="511987"/>
                  <wp:effectExtent l="0" t="0" r="0" b="0"/>
                  <wp:docPr id="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954" cy="5119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14:paraId="1D0A636B" w14:textId="77777777" w:rsidR="0088459E" w:rsidRDefault="00BF1DC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9D99311" wp14:editId="2AEBEE22">
                  <wp:extent cx="863226" cy="68302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26" cy="68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14:paraId="3294BD50" w14:textId="77777777" w:rsidR="0088459E" w:rsidRDefault="00BF1DC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81B6B0A" wp14:editId="0EE62C90">
                  <wp:extent cx="897611" cy="782418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11" cy="782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59E" w14:paraId="7915B07A" w14:textId="77777777">
        <w:tc>
          <w:tcPr>
            <w:tcW w:w="2804" w:type="dxa"/>
          </w:tcPr>
          <w:p w14:paraId="2BFA1636" w14:textId="77777777" w:rsidR="0088459E" w:rsidRDefault="00BF1DC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F484031" wp14:editId="01D37444">
                  <wp:extent cx="1860769" cy="534244"/>
                  <wp:effectExtent l="0" t="0" r="0" b="0"/>
                  <wp:docPr id="8" name="image10.jpg" descr="Obraz zawierający teks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Obraz zawierający tekst&#10;&#10;Opis wygenerowany automatyczni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769" cy="5342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14:paraId="3432EF4F" w14:textId="77777777" w:rsidR="0088459E" w:rsidRDefault="00BF1DC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8200DBA" wp14:editId="70BB54D0">
                  <wp:extent cx="1435475" cy="702085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75" cy="702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14:paraId="21136D70" w14:textId="77777777" w:rsidR="0088459E" w:rsidRDefault="00BF1DC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DB1A1E7" wp14:editId="029CFBF4">
                  <wp:extent cx="501572" cy="501572"/>
                  <wp:effectExtent l="0" t="0" r="0" b="0"/>
                  <wp:docPr id="11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72" cy="5015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14:paraId="015A1CF6" w14:textId="77777777" w:rsidR="0088459E" w:rsidRDefault="0088459E">
            <w:pPr>
              <w:jc w:val="both"/>
            </w:pPr>
          </w:p>
        </w:tc>
      </w:tr>
    </w:tbl>
    <w:p w14:paraId="5020317B" w14:textId="77777777" w:rsidR="0088459E" w:rsidRDefault="0088459E">
      <w:pPr>
        <w:jc w:val="both"/>
      </w:pPr>
    </w:p>
    <w:p w14:paraId="7E17161E" w14:textId="77777777" w:rsidR="0088459E" w:rsidRDefault="0088459E">
      <w:pPr>
        <w:jc w:val="both"/>
      </w:pPr>
    </w:p>
    <w:p w14:paraId="56B88651" w14:textId="77777777" w:rsidR="0088459E" w:rsidRDefault="0088459E">
      <w:pPr>
        <w:jc w:val="both"/>
      </w:pPr>
    </w:p>
    <w:p w14:paraId="0005B05D" w14:textId="77777777" w:rsidR="0088459E" w:rsidRDefault="00BF1DCD">
      <w:pPr>
        <w:jc w:val="both"/>
      </w:pPr>
      <w:r>
        <w:t xml:space="preserve">Biorąc pod uwagę liczne korzyści dla szkół, uczniów, </w:t>
      </w:r>
      <w:r>
        <w:rPr>
          <w:color w:val="000000"/>
        </w:rPr>
        <w:t>nauczycieli</w:t>
      </w:r>
      <w:r>
        <w:t xml:space="preserve"> i społeczności lokalnych oraz czerpiąc z doświadczeń zdobytych w czasie trwania projektu, w </w:t>
      </w:r>
      <w:r>
        <w:rPr>
          <w:b/>
        </w:rPr>
        <w:t>niniejszym dokumencie programowym wskazano działania, które lokalni decydenci mogą podjąć w celu wspierania efektywnego uczenia się młodzieży w XXI wieku</w:t>
      </w:r>
      <w:r>
        <w:t>. Zaleceni</w:t>
      </w:r>
      <w:r>
        <w:t xml:space="preserve">a zawarte w niniejszym opracowaniu wydają się wykonalne, </w:t>
      </w:r>
      <w:r>
        <w:rPr>
          <w:color w:val="000000"/>
        </w:rPr>
        <w:t>realistyczne i</w:t>
      </w:r>
      <w:r>
        <w:t xml:space="preserve"> możliwe do wdrożenia w krótkim czasie. Wymagają jedynie niewielkich </w:t>
      </w:r>
      <w:r>
        <w:rPr>
          <w:color w:val="000000"/>
        </w:rPr>
        <w:t>nakładów inwestycyjnych.</w:t>
      </w:r>
    </w:p>
    <w:p w14:paraId="754B9894" w14:textId="77777777" w:rsidR="0088459E" w:rsidRDefault="0088459E">
      <w:pPr>
        <w:jc w:val="both"/>
      </w:pPr>
    </w:p>
    <w:p w14:paraId="702959D4" w14:textId="77777777" w:rsidR="0088459E" w:rsidRDefault="00BF1DCD">
      <w:pPr>
        <w:pStyle w:val="Nagwek2"/>
        <w:jc w:val="both"/>
        <w:rPr>
          <w:rFonts w:ascii="Arial" w:eastAsia="Arial" w:hAnsi="Arial" w:cs="Arial"/>
          <w:b/>
        </w:rPr>
      </w:pPr>
      <w:bookmarkStart w:id="3" w:name="_3znysh7" w:colFirst="0" w:colLast="0"/>
      <w:bookmarkEnd w:id="3"/>
      <w:r>
        <w:rPr>
          <w:rFonts w:ascii="Arial" w:eastAsia="Arial" w:hAnsi="Arial" w:cs="Arial"/>
          <w:b/>
        </w:rPr>
        <w:t>Źródła powstania</w:t>
      </w:r>
    </w:p>
    <w:p w14:paraId="7D680F93" w14:textId="77777777" w:rsidR="0088459E" w:rsidRDefault="00BF1DCD">
      <w:pPr>
        <w:jc w:val="both"/>
      </w:pPr>
      <w:r>
        <w:t>Raport powstał na podstawie danych zebranych z różnych źródeł, poddanych analizie w wielu momentach trwania projektu. Procedura zbierania danych uwzględnia szczególne okoliczności, które miały istotny wpływ na realizację projektu, tj</w:t>
      </w:r>
      <w:r>
        <w:rPr>
          <w:color w:val="000000"/>
        </w:rPr>
        <w:t>.</w:t>
      </w:r>
      <w:r>
        <w:t xml:space="preserve"> wybuch pandemii Covid</w:t>
      </w:r>
      <w:r>
        <w:t xml:space="preserve">-19 i wynikające z tego faktu przejście na nauczanie zdalne w szkołach w większości krajów europejskich, w tym w krajach zespołu projektowego. W szczególności dane wykorzystane do opracowania niniejszego raportu </w:t>
      </w:r>
      <w:r>
        <w:rPr>
          <w:color w:val="000000"/>
        </w:rPr>
        <w:t>pochodzą</w:t>
      </w:r>
      <w:r>
        <w:t xml:space="preserve"> z następujących </w:t>
      </w:r>
      <w:r>
        <w:rPr>
          <w:color w:val="000000"/>
        </w:rPr>
        <w:t>źródeł</w:t>
      </w:r>
      <w:r>
        <w:t>:</w:t>
      </w:r>
    </w:p>
    <w:p w14:paraId="1C2A7A75" w14:textId="77777777" w:rsidR="0088459E" w:rsidRDefault="0088459E">
      <w:pPr>
        <w:jc w:val="both"/>
      </w:pPr>
    </w:p>
    <w:p w14:paraId="24A89E51" w14:textId="77777777" w:rsidR="0088459E" w:rsidRDefault="00BF1D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dokumentacja misji zrealizowanych przez uczniów ze wszystkich uczestniczących krajów,</w:t>
      </w:r>
    </w:p>
    <w:p w14:paraId="73CE4BA9" w14:textId="77777777" w:rsidR="0088459E" w:rsidRDefault="00BF1D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opinie uczniów wyrażane podczas spotkań on-line, a także </w:t>
      </w:r>
      <w:r>
        <w:t>mobilność</w:t>
      </w:r>
      <w:r>
        <w:rPr>
          <w:color w:val="000000"/>
        </w:rPr>
        <w:t xml:space="preserve"> fizyczn</w:t>
      </w:r>
      <w:r>
        <w:t>a</w:t>
      </w:r>
      <w:r>
        <w:rPr>
          <w:color w:val="000000"/>
        </w:rPr>
        <w:t>,</w:t>
      </w:r>
    </w:p>
    <w:p w14:paraId="4C39821D" w14:textId="77777777" w:rsidR="0088459E" w:rsidRDefault="00BF1D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interakcje online, które wskazują na wyzwania wynikające ze współpracy między szkołami, zespo</w:t>
      </w:r>
      <w:r>
        <w:rPr>
          <w:color w:val="000000"/>
        </w:rPr>
        <w:t>łami uczniowskimi i społecznością interesariusz</w:t>
      </w:r>
      <w:r>
        <w:t>y</w:t>
      </w:r>
      <w:r>
        <w:rPr>
          <w:color w:val="000000"/>
        </w:rPr>
        <w:t>,</w:t>
      </w:r>
    </w:p>
    <w:p w14:paraId="554165C8" w14:textId="77777777" w:rsidR="0088459E" w:rsidRDefault="00BF1D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raportowanie i dokumentacja zespołów szkolnych na temat zaangażowania szkół w </w:t>
      </w:r>
      <w:r>
        <w:t>projekt</w:t>
      </w:r>
      <w:r>
        <w:rPr>
          <w:color w:val="000000"/>
        </w:rPr>
        <w:t xml:space="preserve"> oraz wyzwań, z jakimi borykają się szkoły</w:t>
      </w:r>
    </w:p>
    <w:p w14:paraId="48EA7BED" w14:textId="77777777" w:rsidR="0088459E" w:rsidRDefault="00BF1D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raport</w:t>
      </w:r>
      <w:r>
        <w:t>ów</w:t>
      </w:r>
      <w:r>
        <w:rPr>
          <w:color w:val="000000"/>
        </w:rPr>
        <w:t xml:space="preserve"> </w:t>
      </w:r>
      <w:r>
        <w:t>dotyczących</w:t>
      </w:r>
      <w:r>
        <w:rPr>
          <w:color w:val="000000"/>
        </w:rPr>
        <w:t xml:space="preserve"> współpracy lokalnej z władzami edukacyjnymi i lokalnymi </w:t>
      </w:r>
      <w:r>
        <w:t>w</w:t>
      </w:r>
      <w:r>
        <w:t xml:space="preserve"> czasie trwania</w:t>
      </w:r>
      <w:r>
        <w:rPr>
          <w:color w:val="000000"/>
        </w:rPr>
        <w:t xml:space="preserve"> projektu,</w:t>
      </w:r>
    </w:p>
    <w:p w14:paraId="66A11DDE" w14:textId="77777777" w:rsidR="0088459E" w:rsidRDefault="00BF1D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ankiety </w:t>
      </w:r>
      <w:r>
        <w:t>wypełnione</w:t>
      </w:r>
      <w:r>
        <w:rPr>
          <w:color w:val="000000"/>
        </w:rPr>
        <w:t xml:space="preserve"> przez nauczycieli w różnych momentach trwania projektu,</w:t>
      </w:r>
    </w:p>
    <w:p w14:paraId="4E03C7A2" w14:textId="77777777" w:rsidR="0088459E" w:rsidRDefault="00BF1D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wywiady i nieformalne rozmowy prowadzone z nauczycielami zaangażowanymi w projekt. </w:t>
      </w:r>
    </w:p>
    <w:p w14:paraId="020E609B" w14:textId="77777777" w:rsidR="0088459E" w:rsidRDefault="0088459E">
      <w:pPr>
        <w:pStyle w:val="Nagwek2"/>
        <w:jc w:val="both"/>
        <w:rPr>
          <w:rFonts w:ascii="Arial" w:eastAsia="Arial" w:hAnsi="Arial" w:cs="Arial"/>
        </w:rPr>
      </w:pPr>
    </w:p>
    <w:p w14:paraId="7C9CCA1C" w14:textId="77777777" w:rsidR="0088459E" w:rsidRDefault="0088459E">
      <w:pPr>
        <w:tabs>
          <w:tab w:val="left" w:pos="1210"/>
        </w:tabs>
      </w:pPr>
    </w:p>
    <w:sectPr w:rsidR="0088459E">
      <w:footerReference w:type="even" r:id="rId18"/>
      <w:footerReference w:type="defaul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1810" w14:textId="77777777" w:rsidR="00000000" w:rsidRDefault="00BF1DCD">
      <w:pPr>
        <w:spacing w:line="240" w:lineRule="auto"/>
      </w:pPr>
      <w:r>
        <w:separator/>
      </w:r>
    </w:p>
  </w:endnote>
  <w:endnote w:type="continuationSeparator" w:id="0">
    <w:p w14:paraId="0C1B3E39" w14:textId="77777777" w:rsidR="00000000" w:rsidRDefault="00BF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ƒ&gt;¸Œ˛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2475" w14:textId="77777777" w:rsidR="0088459E" w:rsidRDefault="008845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23959464" w14:textId="77777777" w:rsidR="0088459E" w:rsidRDefault="00BF1D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4E1F" w14:textId="563B3248" w:rsidR="0088459E" w:rsidRDefault="00BF1D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19EECA1" w14:textId="77777777" w:rsidR="0088459E" w:rsidRDefault="008845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F1F5" w14:textId="77777777" w:rsidR="0088459E" w:rsidRDefault="008845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7BBB" w14:textId="77777777" w:rsidR="00000000" w:rsidRDefault="00BF1DCD">
      <w:pPr>
        <w:spacing w:line="240" w:lineRule="auto"/>
      </w:pPr>
      <w:r>
        <w:separator/>
      </w:r>
    </w:p>
  </w:footnote>
  <w:footnote w:type="continuationSeparator" w:id="0">
    <w:p w14:paraId="12F9BDDC" w14:textId="77777777" w:rsidR="00000000" w:rsidRDefault="00BF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61BD"/>
    <w:multiLevelType w:val="multilevel"/>
    <w:tmpl w:val="C1602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ƒ&gt;¸Œ˛" w:eastAsia="ƒ&gt;¸Œ˛" w:hAnsi="ƒ&gt;¸Œ˛" w:cs="ƒ&gt;¸Œ˛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B100C4"/>
    <w:multiLevelType w:val="multilevel"/>
    <w:tmpl w:val="0B10D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9B2560"/>
    <w:multiLevelType w:val="multilevel"/>
    <w:tmpl w:val="10DAC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845651">
    <w:abstractNumId w:val="2"/>
  </w:num>
  <w:num w:numId="2" w16cid:durableId="1618414332">
    <w:abstractNumId w:val="1"/>
  </w:num>
  <w:num w:numId="3" w16cid:durableId="175126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9E"/>
    <w:rsid w:val="0088459E"/>
    <w:rsid w:val="00B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738827"/>
  <w15:docId w15:val="{28AB5D92-77DA-B845-8668-8A47C9F5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Kleban</cp:lastModifiedBy>
  <cp:revision>2</cp:revision>
  <dcterms:created xsi:type="dcterms:W3CDTF">2022-10-07T17:36:00Z</dcterms:created>
  <dcterms:modified xsi:type="dcterms:W3CDTF">2022-10-07T17:36:00Z</dcterms:modified>
</cp:coreProperties>
</file>